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51" w:rsidRDefault="00A6439E" w:rsidP="00851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97">
        <w:rPr>
          <w:rFonts w:ascii="Times New Roman" w:hAnsi="Times New Roman" w:cs="Times New Roman"/>
          <w:b/>
          <w:sz w:val="24"/>
          <w:szCs w:val="24"/>
        </w:rPr>
        <w:t xml:space="preserve">Перечень коррупционных рисков, выявленных в результате внутренних и внешних анализов коррупционных рисков </w:t>
      </w:r>
    </w:p>
    <w:p w:rsidR="009A0AAF" w:rsidRPr="00340797" w:rsidRDefault="00A6439E" w:rsidP="0085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Государственного коммунального предприятия на праве хозяйственного ведения «</w:t>
      </w:r>
      <w:r w:rsidRPr="003407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Школа</w:t>
      </w:r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3407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гимназия</w:t>
      </w:r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3407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№</w:t>
      </w:r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3407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91»</w:t>
      </w:r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акимата</w:t>
      </w:r>
      <w:proofErr w:type="spellEnd"/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города </w:t>
      </w:r>
      <w:r w:rsidRPr="0034079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Астана</w:t>
      </w:r>
      <w:r w:rsidRPr="003407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</w:t>
      </w:r>
    </w:p>
    <w:p w:rsidR="008512B8" w:rsidRPr="008512B8" w:rsidRDefault="008512B8" w:rsidP="00851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21"/>
        <w:gridCol w:w="3716"/>
        <w:gridCol w:w="4819"/>
        <w:gridCol w:w="1842"/>
        <w:gridCol w:w="1985"/>
      </w:tblGrid>
      <w:tr w:rsidR="006055C3" w:rsidRPr="008512B8" w:rsidTr="008512B8">
        <w:trPr>
          <w:trHeight w:val="1505"/>
        </w:trPr>
        <w:tc>
          <w:tcPr>
            <w:tcW w:w="421" w:type="dxa"/>
            <w:shd w:val="clear" w:color="auto" w:fill="FFFFFF"/>
            <w:vAlign w:val="center"/>
            <w:hideMark/>
          </w:tcPr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  <w:shd w:val="clear" w:color="auto" w:fill="FFFFFF"/>
            <w:vAlign w:val="center"/>
            <w:hideMark/>
          </w:tcPr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Выявленный коррупционный риск</w:t>
            </w:r>
          </w:p>
        </w:tc>
        <w:tc>
          <w:tcPr>
            <w:tcW w:w="3716" w:type="dxa"/>
            <w:shd w:val="clear" w:color="auto" w:fill="FFFFFF"/>
            <w:vAlign w:val="center"/>
            <w:hideMark/>
          </w:tcPr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Рекомендации</w:t>
            </w:r>
            <w:r w:rsidR="006055C3" w:rsidRPr="008512B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по устранению</w:t>
            </w:r>
          </w:p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4819" w:type="dxa"/>
            <w:shd w:val="clear" w:color="auto" w:fill="FFFFFF"/>
            <w:vAlign w:val="center"/>
            <w:hideMark/>
          </w:tcPr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Форма исполнения рекомендации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0935FD" w:rsidRPr="000935FD" w:rsidRDefault="006055C3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 xml:space="preserve">Позиция </w:t>
            </w:r>
            <w:r w:rsidR="000935FD"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уполномоченного государственного органа</w:t>
            </w:r>
          </w:p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ru-RU"/>
              </w:rPr>
              <w:t>*При направлении рекомендаций</w:t>
            </w:r>
          </w:p>
          <w:p w:rsidR="000935FD" w:rsidRPr="000935FD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i/>
                <w:iCs/>
                <w:color w:val="1F1F1F"/>
                <w:sz w:val="24"/>
                <w:szCs w:val="24"/>
                <w:lang w:eastAsia="ru-RU"/>
              </w:rPr>
              <w:t>в другой гос. орган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8512B8" w:rsidRDefault="000935FD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Срок</w:t>
            </w:r>
            <w:r w:rsidR="006055C3" w:rsidRPr="008512B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0935FD" w:rsidRPr="000935FD" w:rsidRDefault="006055C3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и</w:t>
            </w:r>
            <w:r w:rsidR="000935FD" w:rsidRPr="000935FD"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  <w:t>сполнения</w:t>
            </w:r>
          </w:p>
        </w:tc>
      </w:tr>
      <w:tr w:rsidR="000935FD" w:rsidRPr="008512B8" w:rsidTr="008512B8">
        <w:tc>
          <w:tcPr>
            <w:tcW w:w="421" w:type="dxa"/>
            <w:shd w:val="clear" w:color="auto" w:fill="FFFFFF"/>
          </w:tcPr>
          <w:p w:rsidR="000935FD" w:rsidRPr="008512B8" w:rsidRDefault="00D01A86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shd w:val="clear" w:color="auto" w:fill="FFFFFF"/>
          </w:tcPr>
          <w:p w:rsidR="000935FD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связанных с оказанием государственных услуг</w:t>
            </w:r>
          </w:p>
        </w:tc>
        <w:tc>
          <w:tcPr>
            <w:tcW w:w="3716" w:type="dxa"/>
            <w:shd w:val="clear" w:color="auto" w:fill="FFFFFF"/>
          </w:tcPr>
          <w:p w:rsidR="000935FD" w:rsidRPr="008512B8" w:rsidRDefault="00A675D1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Координировать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установленного порядка</w:t>
            </w:r>
            <w:r w:rsidR="004724C8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в части оказания государственных услуг, а также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рас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смотрения обращений граждан и юриди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ческих лиц. Не</w:t>
            </w:r>
            <w:r w:rsidR="004724C8" w:rsidRPr="008512B8">
              <w:rPr>
                <w:rStyle w:val="Bodytext20"/>
                <w:rFonts w:eastAsiaTheme="minorHAnsi"/>
                <w:sz w:val="24"/>
                <w:szCs w:val="24"/>
              </w:rPr>
              <w:t>допущение истребования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="004724C8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излишних документов от </w:t>
            </w:r>
            <w:proofErr w:type="spellStart"/>
            <w:r w:rsidR="004724C8" w:rsidRPr="008512B8">
              <w:rPr>
                <w:rStyle w:val="Bodytext20"/>
                <w:rFonts w:eastAsiaTheme="minorHAnsi"/>
                <w:sz w:val="24"/>
                <w:szCs w:val="24"/>
              </w:rPr>
              <w:t>услугополучателей</w:t>
            </w:r>
            <w:proofErr w:type="spellEnd"/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0935FD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Разъяснительная работа. Соблюдение установленного порядка рассмотре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ния обращений граждан. Контроль</w:t>
            </w:r>
            <w:r w:rsidR="00B00921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по рассмотрению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обращений.</w:t>
            </w:r>
          </w:p>
        </w:tc>
        <w:tc>
          <w:tcPr>
            <w:tcW w:w="1842" w:type="dxa"/>
            <w:shd w:val="clear" w:color="auto" w:fill="FFFFFF"/>
          </w:tcPr>
          <w:p w:rsidR="000935FD" w:rsidRPr="008512B8" w:rsidRDefault="000935FD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8512B8" w:rsidRPr="008512B8" w:rsidRDefault="00924297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  <w:r w:rsidR="008512B8"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</w:t>
            </w:r>
          </w:p>
          <w:p w:rsidR="000935FD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в соответствии с установленными сроками законодательства Р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еспублики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азахстан</w:t>
            </w:r>
          </w:p>
        </w:tc>
      </w:tr>
      <w:tr w:rsidR="00E33883" w:rsidRPr="008512B8" w:rsidTr="008512B8">
        <w:tc>
          <w:tcPr>
            <w:tcW w:w="421" w:type="dxa"/>
            <w:shd w:val="clear" w:color="auto" w:fill="FFFFFF"/>
          </w:tcPr>
          <w:p w:rsidR="00E33883" w:rsidRPr="008512B8" w:rsidRDefault="00D01A86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shd w:val="clear" w:color="auto" w:fill="FFFFFF"/>
          </w:tcPr>
          <w:p w:rsidR="00E33883" w:rsidRPr="008512B8" w:rsidRDefault="00E33883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связанных с оказанием государственных услуг</w:t>
            </w:r>
          </w:p>
        </w:tc>
        <w:tc>
          <w:tcPr>
            <w:tcW w:w="3716" w:type="dxa"/>
            <w:shd w:val="clear" w:color="auto" w:fill="FFFFFF"/>
          </w:tcPr>
          <w:p w:rsidR="00E33883" w:rsidRPr="008512B8" w:rsidRDefault="00E33883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Принимать соответствующие меры по прохождению повышения квалификации педагогических работников школы-гимназии</w:t>
            </w:r>
            <w:r w:rsidR="00EF7A84" w:rsidRPr="008512B8">
              <w:rPr>
                <w:rStyle w:val="Bodytext20"/>
                <w:rFonts w:eastAsiaTheme="minorHAnsi"/>
                <w:sz w:val="24"/>
                <w:szCs w:val="24"/>
              </w:rPr>
              <w:t>.</w:t>
            </w:r>
          </w:p>
          <w:p w:rsidR="00EF7A84" w:rsidRPr="008512B8" w:rsidRDefault="00EF7A84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</w:p>
          <w:p w:rsidR="00EF7A84" w:rsidRPr="008512B8" w:rsidRDefault="00EF7A84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Принимать соответствующие меры по необъективности в выставлении оценок, завышению оценочных баллов для искусственного поддержания видимости успеваемости, знаний, умений, навыков, завышению оценочных баллов за вознаграждение или оказание услуг со стороны обучающихся либо их родителей (</w:t>
            </w:r>
            <w:r w:rsidR="00A675D1" w:rsidRPr="008512B8">
              <w:rPr>
                <w:rStyle w:val="Bodytext20"/>
                <w:rFonts w:eastAsiaTheme="minorHAnsi"/>
                <w:sz w:val="24"/>
                <w:szCs w:val="24"/>
              </w:rPr>
              <w:t>законных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представителей).</w:t>
            </w:r>
          </w:p>
        </w:tc>
        <w:tc>
          <w:tcPr>
            <w:tcW w:w="4819" w:type="dxa"/>
            <w:shd w:val="clear" w:color="auto" w:fill="FFFFFF"/>
          </w:tcPr>
          <w:p w:rsidR="00E33883" w:rsidRPr="008512B8" w:rsidRDefault="00E33883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Разъяснительная работа. </w:t>
            </w:r>
            <w:r w:rsidR="004E14FB" w:rsidRPr="008512B8">
              <w:rPr>
                <w:rStyle w:val="Bodytext20"/>
                <w:rFonts w:eastAsiaTheme="minorHAnsi"/>
                <w:sz w:val="24"/>
                <w:szCs w:val="24"/>
              </w:rPr>
              <w:t>Контроль по с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облюдени</w:t>
            </w:r>
            <w:r w:rsidR="004E14FB" w:rsidRPr="008512B8">
              <w:rPr>
                <w:rStyle w:val="Bodytext20"/>
                <w:rFonts w:eastAsiaTheme="minorHAnsi"/>
                <w:sz w:val="24"/>
                <w:szCs w:val="24"/>
              </w:rPr>
              <w:t>ю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установленного порядка</w:t>
            </w:r>
            <w:r w:rsidR="004E14FB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по прохождению повышения квалификации педагогических работников школы-гимназии</w:t>
            </w:r>
            <w:r w:rsidR="00B00921" w:rsidRPr="008512B8">
              <w:rPr>
                <w:rStyle w:val="Bodytext20"/>
                <w:rFonts w:eastAsiaTheme="minorHAnsi"/>
                <w:sz w:val="24"/>
                <w:szCs w:val="24"/>
              </w:rPr>
              <w:t>.</w:t>
            </w:r>
          </w:p>
          <w:p w:rsidR="00B00921" w:rsidRPr="008512B8" w:rsidRDefault="00B00921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</w:p>
          <w:p w:rsidR="00B00921" w:rsidRPr="008512B8" w:rsidRDefault="00B00921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Организация работы по контролю за деятельностью педагогических ра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ботников. Рассмотрение успеваемо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сти обучающихся на заседаниях методических объединений. </w:t>
            </w:r>
          </w:p>
          <w:p w:rsidR="00B00921" w:rsidRPr="008512B8" w:rsidRDefault="00B00921" w:rsidP="008512B8">
            <w:pPr>
              <w:spacing w:after="0" w:line="240" w:lineRule="auto"/>
              <w:rPr>
                <w:rStyle w:val="Bodytext20"/>
                <w:rFonts w:eastAsiaTheme="minorHAnsi"/>
                <w:b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Разъяснение ответ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ственным лицам </w:t>
            </w:r>
            <w:r w:rsidR="00575FB7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и педагогическим работникам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 мерах ответствен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E33883" w:rsidRPr="008512B8" w:rsidRDefault="00E33883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33883" w:rsidRPr="008512B8" w:rsidRDefault="00924297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4B538E" w:rsidRPr="008512B8" w:rsidTr="008512B8">
        <w:tc>
          <w:tcPr>
            <w:tcW w:w="421" w:type="dxa"/>
            <w:shd w:val="clear" w:color="auto" w:fill="FFFFFF"/>
          </w:tcPr>
          <w:p w:rsidR="004B538E" w:rsidRPr="008512B8" w:rsidRDefault="00D01A86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1" w:type="dxa"/>
            <w:shd w:val="clear" w:color="auto" w:fill="FFFFFF"/>
          </w:tcPr>
          <w:p w:rsidR="004B538E" w:rsidRPr="008512B8" w:rsidRDefault="003F4838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 д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еятельность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ю школы-гимназии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716" w:type="dxa"/>
            <w:shd w:val="clear" w:color="auto" w:fill="FFFFFF"/>
          </w:tcPr>
          <w:p w:rsidR="004B538E" w:rsidRPr="008512B8" w:rsidRDefault="00B24079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Принять соответствующие меры о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з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апрет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е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о сбор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у 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денежных средств, </w:t>
            </w:r>
            <w:r w:rsidR="00C762B2" w:rsidRPr="008512B8">
              <w:rPr>
                <w:rStyle w:val="Bodytext20"/>
                <w:rFonts w:eastAsiaTheme="minorHAnsi"/>
                <w:sz w:val="24"/>
                <w:szCs w:val="24"/>
              </w:rPr>
              <w:t>неформальных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платежи, частное репетиторство</w:t>
            </w:r>
          </w:p>
        </w:tc>
        <w:tc>
          <w:tcPr>
            <w:tcW w:w="4819" w:type="dxa"/>
            <w:shd w:val="clear" w:color="auto" w:fill="FFFFFF"/>
          </w:tcPr>
          <w:p w:rsidR="004B538E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Информационная открытость деятельности через Интернет-ресурс </w:t>
            </w:r>
            <w:r w:rsidR="00FC4103"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школы-гимназии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(ast9.edu.kz) и социальные сети </w:t>
            </w:r>
            <w:proofErr w:type="spellStart"/>
            <w:proofErr w:type="gramStart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Facebook</w:t>
            </w:r>
            <w:proofErr w:type="spellEnd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Instagram</w:t>
            </w:r>
            <w:proofErr w:type="spellEnd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(@91gymnasium.school)</w:t>
            </w:r>
            <w:r w:rsidR="00AA0109"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. Соблюдение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антикоррупционной политики. Разъяснение работникам положений законодательства</w:t>
            </w:r>
            <w:r w:rsidR="00FC4103"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Республики Казахстан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правонарушений. Издание приказа по школе-гимназии</w:t>
            </w:r>
            <w:r w:rsidR="00FC4103"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4B538E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4B538E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4B538E" w:rsidRPr="008512B8" w:rsidTr="008512B8">
        <w:tc>
          <w:tcPr>
            <w:tcW w:w="421" w:type="dxa"/>
            <w:shd w:val="clear" w:color="auto" w:fill="FFFFFF"/>
          </w:tcPr>
          <w:p w:rsidR="004B538E" w:rsidRPr="008512B8" w:rsidRDefault="00D01A86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shd w:val="clear" w:color="auto" w:fill="FFFFFF"/>
          </w:tcPr>
          <w:p w:rsidR="004B538E" w:rsidRPr="008512B8" w:rsidRDefault="00253524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Коррупционные риски, связанные с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работой</w:t>
            </w:r>
            <w:r w:rsidR="00A15709">
              <w:rPr>
                <w:rStyle w:val="Bodytext20"/>
                <w:rFonts w:eastAsiaTheme="minorHAnsi"/>
                <w:sz w:val="24"/>
                <w:szCs w:val="24"/>
              </w:rPr>
              <w:t xml:space="preserve"> со служебной ин</w:t>
            </w:r>
            <w:r w:rsidR="004B538E" w:rsidRPr="008512B8">
              <w:rPr>
                <w:rStyle w:val="Bodytext20"/>
                <w:rFonts w:eastAsiaTheme="minorHAnsi"/>
                <w:sz w:val="24"/>
                <w:szCs w:val="24"/>
              </w:rPr>
              <w:t>формацией.</w:t>
            </w:r>
          </w:p>
        </w:tc>
        <w:tc>
          <w:tcPr>
            <w:tcW w:w="3716" w:type="dxa"/>
            <w:shd w:val="clear" w:color="auto" w:fill="FFFFFF"/>
          </w:tcPr>
          <w:p w:rsidR="004B538E" w:rsidRPr="008512B8" w:rsidRDefault="00253524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Принимать соответствующие меры, а также проводить разъяснительную работу по и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t>спользование в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части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="0029558C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по недопущению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использовани</w:t>
            </w:r>
            <w:r w:rsidR="0029558C" w:rsidRPr="008512B8">
              <w:rPr>
                <w:rStyle w:val="Bodytext20"/>
                <w:rFonts w:eastAsiaTheme="minorHAnsi"/>
                <w:sz w:val="24"/>
                <w:szCs w:val="24"/>
              </w:rPr>
              <w:t>я в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t>личных или групповых интересах информации, полученной при</w:t>
            </w:r>
            <w:r w:rsidR="003F4838" w:rsidRPr="008512B8">
              <w:rPr>
                <w:sz w:val="24"/>
                <w:szCs w:val="24"/>
              </w:rPr>
              <w:t xml:space="preserve"> 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t>выполнении служебных обязанностей, если такая информация не подлежит офи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циальному распространению. Попытка несанкционированного доступа к инфор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мационным ресурсам. Замалчивание ин</w:t>
            </w:r>
            <w:r w:rsidR="003F4838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формации.</w:t>
            </w:r>
          </w:p>
        </w:tc>
        <w:tc>
          <w:tcPr>
            <w:tcW w:w="4819" w:type="dxa"/>
            <w:shd w:val="clear" w:color="auto" w:fill="FFFFFF"/>
          </w:tcPr>
          <w:p w:rsidR="004B538E" w:rsidRPr="008512B8" w:rsidRDefault="009D2A83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Соблюдение 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t>антикоррупционной политики. Ознакомление с нормативными документами, регла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ментирующими вопросы предупре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ждения и противодействия коррупции. Разъ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яснение работникам </w:t>
            </w:r>
            <w:r w:rsidR="00DF1006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школы-гимназии 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t>положений законода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тельства </w:t>
            </w:r>
            <w:r w:rsidR="00DF1006" w:rsidRPr="008512B8">
              <w:rPr>
                <w:rStyle w:val="Bodytext20"/>
                <w:rFonts w:eastAsiaTheme="minorHAnsi"/>
                <w:sz w:val="24"/>
                <w:szCs w:val="24"/>
              </w:rPr>
              <w:t>Р</w:t>
            </w:r>
            <w:r w:rsidR="007B25D0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еспублики </w:t>
            </w:r>
            <w:r w:rsidR="00DF1006" w:rsidRPr="008512B8">
              <w:rPr>
                <w:rStyle w:val="Bodytext20"/>
                <w:rFonts w:eastAsiaTheme="minorHAnsi"/>
                <w:sz w:val="24"/>
                <w:szCs w:val="24"/>
              </w:rPr>
              <w:t>К</w:t>
            </w:r>
            <w:r w:rsidR="007B25D0" w:rsidRPr="008512B8">
              <w:rPr>
                <w:rStyle w:val="Bodytext20"/>
                <w:rFonts w:eastAsiaTheme="minorHAnsi"/>
                <w:sz w:val="24"/>
                <w:szCs w:val="24"/>
              </w:rPr>
              <w:t>азахстан</w:t>
            </w:r>
            <w:r w:rsidR="00DF1006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t>о мерах ответственности за совершение коррупционных правона</w:t>
            </w:r>
            <w:r w:rsidR="00AA010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рушений.</w:t>
            </w:r>
          </w:p>
        </w:tc>
        <w:tc>
          <w:tcPr>
            <w:tcW w:w="1842" w:type="dxa"/>
            <w:shd w:val="clear" w:color="auto" w:fill="FFFFFF"/>
          </w:tcPr>
          <w:p w:rsidR="004B538E" w:rsidRPr="008512B8" w:rsidRDefault="004B538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4B538E" w:rsidRPr="008512B8" w:rsidRDefault="00A6439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EA4B13" w:rsidRPr="008512B8" w:rsidTr="008512B8">
        <w:tc>
          <w:tcPr>
            <w:tcW w:w="421" w:type="dxa"/>
            <w:shd w:val="clear" w:color="auto" w:fill="FFFFFF"/>
          </w:tcPr>
          <w:p w:rsidR="00EA4B13" w:rsidRPr="008512B8" w:rsidRDefault="00D01A86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B13" w:rsidRPr="008512B8" w:rsidRDefault="00EA4B13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принятием</w:t>
            </w:r>
            <w:r w:rsidR="00B00921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решений об ис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пользовании бюджетных средств и средств от прино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сящей доход деятельности.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B13" w:rsidRPr="008512B8" w:rsidRDefault="007849E4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Осуществлять контроль</w:t>
            </w:r>
            <w:r w:rsidR="0046786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и принятие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соответствующих мер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по н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t>ецелево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t>му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использовани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t>ю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бюджетных средств и средств, полученных от прино</w:t>
            </w:r>
            <w:r w:rsidR="00EA4B13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сящей доход деятельности.</w:t>
            </w:r>
          </w:p>
        </w:tc>
        <w:tc>
          <w:tcPr>
            <w:tcW w:w="4819" w:type="dxa"/>
            <w:shd w:val="clear" w:color="auto" w:fill="FFFFFF"/>
          </w:tcPr>
          <w:p w:rsidR="00EA4B13" w:rsidRPr="008512B8" w:rsidRDefault="00467869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С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t>облюдению антикоррупционной политики. Ознакомление с нормативными документами, регла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ментирующими вопросы предупре</w:t>
            </w:r>
            <w:r w:rsidR="00870BDE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ждения и противодействия коррупции. </w:t>
            </w:r>
            <w:r w:rsidR="00B00921" w:rsidRPr="008512B8">
              <w:rPr>
                <w:rStyle w:val="Bodytext20"/>
                <w:rFonts w:eastAsiaTheme="minorHAnsi"/>
                <w:sz w:val="24"/>
                <w:szCs w:val="24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EA4B13" w:rsidRPr="008512B8" w:rsidRDefault="00EA4B13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EA4B13" w:rsidRPr="008512B8" w:rsidRDefault="00A6439E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CA01C9" w:rsidRPr="008512B8" w:rsidTr="008512B8">
        <w:tc>
          <w:tcPr>
            <w:tcW w:w="421" w:type="dxa"/>
            <w:shd w:val="clear" w:color="auto" w:fill="FFFFFF"/>
          </w:tcPr>
          <w:p w:rsidR="00CA01C9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1C9" w:rsidRPr="008512B8" w:rsidRDefault="00CA01C9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осуществлением государственных закупок и заключению договоров на поставку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lastRenderedPageBreak/>
              <w:t>товаров, выполнение работ, оказанию услуг, а также других гражданско-право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вых договоров для школы-гимназии.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1C9" w:rsidRPr="008512B8" w:rsidRDefault="007849E4" w:rsidP="008512B8">
            <w:pPr>
              <w:spacing w:after="0" w:line="240" w:lineRule="auto"/>
              <w:rPr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lastRenderedPageBreak/>
              <w:t>Осуществлять контроль по р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>асстановк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е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мнимых приоритетов по предмету, объемам, срокам удовлет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воре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ния потребности; определению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объема необходимых средств;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не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приемлемым критериям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lastRenderedPageBreak/>
              <w:t xml:space="preserve">допуска и отбора поставщика,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размытому перечню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необходимых критерие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в допуска и отбора; размещению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заказа авраль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но в конце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года (квартала); необоснован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ному затягиванию или ускорению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процесса осуществления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государственных 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t>закупок; совершение сде</w:t>
            </w:r>
            <w:r w:rsidR="00CA01C9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лок с нарушением установленного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порядка</w:t>
            </w:r>
            <w:r w:rsidRPr="008512B8">
              <w:rPr>
                <w:sz w:val="24"/>
                <w:szCs w:val="24"/>
              </w:rPr>
              <w:t xml:space="preserve">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требований закона в личных интересах; заключение договоров без соблюдения установленной процедуры; отказ от про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ведения мониторинга цен на товары и услуги; 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4819" w:type="dxa"/>
            <w:shd w:val="clear" w:color="auto" w:fill="FFFFFF"/>
          </w:tcPr>
          <w:p w:rsidR="00CA01C9" w:rsidRPr="008512B8" w:rsidRDefault="004161E5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lastRenderedPageBreak/>
              <w:t xml:space="preserve">Соблюдение при проведении 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государственных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закупок товаров, работ и услуг для нужд 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школы-гимназии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требований по заключению договоров с 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поставщиками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в соответствии с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законодательством Республики Казахстан в сфере 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lastRenderedPageBreak/>
              <w:t>государственных закупок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. Разъяснение работ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никам</w:t>
            </w:r>
            <w:r w:rsidR="00AB703D" w:rsidRPr="008512B8">
              <w:rPr>
                <w:rStyle w:val="Bodytext20"/>
                <w:rFonts w:eastAsiaTheme="minorHAnsi"/>
                <w:sz w:val="24"/>
                <w:szCs w:val="24"/>
              </w:rPr>
              <w:t>, связанным с заключением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договоров, о мерах ответственности за совершение коррупционных право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нарушений. Ознакомление с норма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тивными документами, регламенти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рующими вопросы предупреждения и противодействия коррупции.</w:t>
            </w:r>
            <w:r w:rsidR="00575FB7" w:rsidRPr="008512B8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r w:rsidR="00575FB7" w:rsidRPr="008512B8">
              <w:rPr>
                <w:rStyle w:val="Bodytext20"/>
                <w:rFonts w:eastAsiaTheme="minorHAnsi"/>
                <w:sz w:val="24"/>
                <w:szCs w:val="24"/>
              </w:rPr>
              <w:t>Разъяснение ответ</w:t>
            </w:r>
            <w:r w:rsidR="00575FB7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ственным лицам о мерах ответствен</w:t>
            </w:r>
            <w:r w:rsidR="00575FB7"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CA01C9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 xml:space="preserve">Портал государственных закупок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goszakup.gov.kz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A15709" w:rsidRPr="008512B8" w:rsidRDefault="00A15709" w:rsidP="00A15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На постоянной основе </w:t>
            </w:r>
          </w:p>
          <w:p w:rsidR="00CA01C9" w:rsidRPr="008512B8" w:rsidRDefault="00A15709" w:rsidP="00A15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 соответствии с установленными сроками законодательства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еспублики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азахстан</w:t>
            </w:r>
          </w:p>
        </w:tc>
      </w:tr>
      <w:tr w:rsidR="008512B8" w:rsidRPr="008512B8" w:rsidTr="001D7F52">
        <w:tc>
          <w:tcPr>
            <w:tcW w:w="4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 регистрацией и ведением </w:t>
            </w:r>
            <w:r w:rsidR="00A15709">
              <w:rPr>
                <w:rStyle w:val="Bodytext20"/>
                <w:rFonts w:eastAsiaTheme="minorHAnsi"/>
                <w:sz w:val="24"/>
                <w:szCs w:val="24"/>
              </w:rPr>
              <w:t>данных материальных цен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ностей.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Осуществлять контроль по наличию и сохранности имущества, принятие соответствующих мер по своевременной постановке на реги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страционный учет материальных ценностей, а также за досрочным (умышленном) списанием материальных средств и расходных мате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 xml:space="preserve">риалов с регистрационного учета. </w:t>
            </w:r>
          </w:p>
        </w:tc>
        <w:tc>
          <w:tcPr>
            <w:tcW w:w="4819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Style w:val="Bodytext20"/>
                <w:rFonts w:eastAsiaTheme="minorHAnsi"/>
                <w:sz w:val="24"/>
                <w:szCs w:val="24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Организация работы за деятельностью в части регистрации и ведению данных материальных цен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ностей. Озна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комление с нормативными докумен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тами, регламентирующими вопросы предупреждения и противодействия коррупции.</w:t>
            </w:r>
            <w:r w:rsidRPr="008512B8">
              <w:rPr>
                <w:rStyle w:val="Bodytext2"/>
                <w:rFonts w:eastAsiaTheme="minorHAnsi"/>
                <w:sz w:val="24"/>
                <w:szCs w:val="24"/>
              </w:rPr>
              <w:t xml:space="preserve"> 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Разъяснение ответ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ственным лицам о мерах ответствен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</w:tr>
      <w:tr w:rsidR="008512B8" w:rsidRPr="008512B8" w:rsidTr="008512B8">
        <w:tc>
          <w:tcPr>
            <w:tcW w:w="4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 управлением персонала</w:t>
            </w:r>
          </w:p>
        </w:tc>
        <w:tc>
          <w:tcPr>
            <w:tcW w:w="3716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Учитывать сотрудников, которые дополнительно работают по совместительству в других учреждениях</w:t>
            </w:r>
          </w:p>
        </w:tc>
        <w:tc>
          <w:tcPr>
            <w:tcW w:w="4819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Письма-запросы. Разъяснение работникам положений законодательства Республики Казахстан о мерах ответственности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8512B8" w:rsidRPr="008512B8" w:rsidTr="008512B8">
        <w:tc>
          <w:tcPr>
            <w:tcW w:w="4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 управлением персонала</w:t>
            </w:r>
          </w:p>
        </w:tc>
        <w:tc>
          <w:tcPr>
            <w:tcW w:w="3716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Координировать предоставление в орган государственных доходов декларации о доходах и имуществе </w:t>
            </w:r>
          </w:p>
        </w:tc>
        <w:tc>
          <w:tcPr>
            <w:tcW w:w="4819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Декларация </w:t>
            </w:r>
          </w:p>
        </w:tc>
        <w:tc>
          <w:tcPr>
            <w:tcW w:w="1842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Декларация о доходах и имуществе </w:t>
            </w:r>
          </w:p>
        </w:tc>
        <w:tc>
          <w:tcPr>
            <w:tcW w:w="1985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 соответствии с установленными сроками законодательства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еспублики 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азахстан</w:t>
            </w: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12B8" w:rsidRPr="008512B8" w:rsidTr="008512B8">
        <w:tc>
          <w:tcPr>
            <w:tcW w:w="4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 управлением персонала</w:t>
            </w:r>
          </w:p>
        </w:tc>
        <w:tc>
          <w:tcPr>
            <w:tcW w:w="3716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Выявление поддельных документов (дипломов) об образовании </w:t>
            </w:r>
          </w:p>
        </w:tc>
        <w:tc>
          <w:tcPr>
            <w:tcW w:w="4819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валидности</w:t>
            </w:r>
            <w:proofErr w:type="spellEnd"/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 дипломов об образовании через сервис цифровых документов, запросы в вузы для проверки подлинности диплома. Разъяснение работникам положений законодательства Республики Казахстан о мерах ответственности за совершение коррупционных правонарушений.</w:t>
            </w:r>
          </w:p>
        </w:tc>
        <w:tc>
          <w:tcPr>
            <w:tcW w:w="1842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Сервис проверки дипломов</w:t>
            </w:r>
          </w:p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diplom.edu.kz/</w:t>
            </w:r>
          </w:p>
        </w:tc>
        <w:tc>
          <w:tcPr>
            <w:tcW w:w="1985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На постоянной основе</w:t>
            </w:r>
          </w:p>
        </w:tc>
      </w:tr>
      <w:tr w:rsidR="008512B8" w:rsidRPr="008512B8" w:rsidTr="008512B8">
        <w:tc>
          <w:tcPr>
            <w:tcW w:w="4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1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>Коррупционные риски, связанные с р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 xml:space="preserve">еализацией </w:t>
            </w:r>
            <w:r w:rsidRPr="008512B8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минимальных социальных стандартов </w:t>
            </w:r>
          </w:p>
          <w:p w:rsidR="008512B8" w:rsidRPr="008512B8" w:rsidRDefault="008512B8" w:rsidP="008512B8">
            <w:pPr>
              <w:spacing w:after="0" w:line="240" w:lineRule="auto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Координировать мероприятий по социальной поддержке обучающихся со стороны уполномоченных органов города. О</w:t>
            </w:r>
            <w:r w:rsidRPr="0085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минимальных социальных стандартов и государственных услуг в сфере семьи и детей, а также всеобучу, организация питания обучающимся школы-гимназии</w:t>
            </w:r>
            <w:r w:rsidRPr="00851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t>Организация и контроль работы кол</w:t>
            </w:r>
            <w:r w:rsidRPr="008512B8">
              <w:rPr>
                <w:rStyle w:val="Bodytext20"/>
                <w:rFonts w:eastAsiaTheme="minorHAnsi"/>
                <w:sz w:val="24"/>
                <w:szCs w:val="24"/>
              </w:rPr>
              <w:softHyphen/>
              <w:t>легиального органа с участием родительской общественности по вопросам социальной поддержки обучающихся</w:t>
            </w:r>
            <w:r w:rsidR="0026310C">
              <w:rPr>
                <w:rStyle w:val="Bodytext2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8512B8" w:rsidRPr="008512B8" w:rsidRDefault="008512B8" w:rsidP="008512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15709" w:rsidRPr="008512B8" w:rsidRDefault="00A15709" w:rsidP="00A15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На постоянной основе </w:t>
            </w:r>
          </w:p>
          <w:p w:rsidR="008512B8" w:rsidRPr="008512B8" w:rsidRDefault="00A15709" w:rsidP="00A15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8512B8">
              <w:rPr>
                <w:rFonts w:ascii="Times New Roman" w:eastAsia="Times New Roman" w:hAnsi="Times New Roman" w:cs="Times New Roman"/>
                <w:bCs/>
                <w:color w:val="1F1F1F"/>
                <w:sz w:val="24"/>
                <w:szCs w:val="24"/>
                <w:lang w:eastAsia="ru-RU"/>
              </w:rPr>
              <w:t xml:space="preserve">в соответствии с </w:t>
            </w:r>
          </w:p>
        </w:tc>
      </w:tr>
    </w:tbl>
    <w:p w:rsidR="000935FD" w:rsidRPr="008512B8" w:rsidRDefault="000935FD" w:rsidP="008512B8">
      <w:pPr>
        <w:spacing w:after="0" w:line="240" w:lineRule="auto"/>
        <w:rPr>
          <w:sz w:val="24"/>
          <w:szCs w:val="24"/>
        </w:rPr>
      </w:pPr>
    </w:p>
    <w:sectPr w:rsidR="000935FD" w:rsidRPr="008512B8" w:rsidSect="000935F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83"/>
    <w:rsid w:val="000935FD"/>
    <w:rsid w:val="000B6DC9"/>
    <w:rsid w:val="001E005E"/>
    <w:rsid w:val="00253524"/>
    <w:rsid w:val="0026310C"/>
    <w:rsid w:val="0029558C"/>
    <w:rsid w:val="002B2AA0"/>
    <w:rsid w:val="00325916"/>
    <w:rsid w:val="00340797"/>
    <w:rsid w:val="00381C86"/>
    <w:rsid w:val="003C1F1C"/>
    <w:rsid w:val="003D3383"/>
    <w:rsid w:val="003F0820"/>
    <w:rsid w:val="003F4838"/>
    <w:rsid w:val="004161E5"/>
    <w:rsid w:val="00467869"/>
    <w:rsid w:val="004724C8"/>
    <w:rsid w:val="004B538E"/>
    <w:rsid w:val="004E14FB"/>
    <w:rsid w:val="005258AB"/>
    <w:rsid w:val="00535E7A"/>
    <w:rsid w:val="0055298C"/>
    <w:rsid w:val="00575FB7"/>
    <w:rsid w:val="006055C3"/>
    <w:rsid w:val="007849E4"/>
    <w:rsid w:val="007B25D0"/>
    <w:rsid w:val="008512B8"/>
    <w:rsid w:val="00870BDE"/>
    <w:rsid w:val="00897AFD"/>
    <w:rsid w:val="00924297"/>
    <w:rsid w:val="009A0AAF"/>
    <w:rsid w:val="009D2A83"/>
    <w:rsid w:val="00A15709"/>
    <w:rsid w:val="00A17412"/>
    <w:rsid w:val="00A6439E"/>
    <w:rsid w:val="00A675D1"/>
    <w:rsid w:val="00AA0109"/>
    <w:rsid w:val="00AB49D6"/>
    <w:rsid w:val="00AB703D"/>
    <w:rsid w:val="00B00921"/>
    <w:rsid w:val="00B24079"/>
    <w:rsid w:val="00B607FB"/>
    <w:rsid w:val="00BF6BC1"/>
    <w:rsid w:val="00C762B2"/>
    <w:rsid w:val="00CA01C9"/>
    <w:rsid w:val="00CB5B7D"/>
    <w:rsid w:val="00D01A86"/>
    <w:rsid w:val="00D443E5"/>
    <w:rsid w:val="00DA2E51"/>
    <w:rsid w:val="00DF1006"/>
    <w:rsid w:val="00E33883"/>
    <w:rsid w:val="00E82B86"/>
    <w:rsid w:val="00EA4B13"/>
    <w:rsid w:val="00EF7A84"/>
    <w:rsid w:val="00FB1D2A"/>
    <w:rsid w:val="00FC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D96F4-B6AD-4C21-83FF-DBD56705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3C1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3C1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 Abilkayeva</dc:creator>
  <cp:keywords/>
  <dc:description/>
  <cp:lastModifiedBy>user</cp:lastModifiedBy>
  <cp:revision>46</cp:revision>
  <dcterms:created xsi:type="dcterms:W3CDTF">2025-04-28T04:51:00Z</dcterms:created>
  <dcterms:modified xsi:type="dcterms:W3CDTF">2025-04-28T10:29:00Z</dcterms:modified>
</cp:coreProperties>
</file>